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85" w:rsidRDefault="006D4C79" w:rsidP="007648F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Environmental Protection and Other Legislation Amendment Bill 2010 amends a range </w:t>
      </w:r>
      <w:r w:rsidR="00572C85">
        <w:rPr>
          <w:rFonts w:ascii="Arial" w:hAnsi="Arial" w:cs="Arial"/>
          <w:bCs/>
          <w:spacing w:val="-3"/>
          <w:sz w:val="22"/>
          <w:szCs w:val="22"/>
        </w:rPr>
        <w:t>of legislation administered by the Department of Environment and Resource Management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="00572C8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4217A" w:rsidRDefault="00572C85" w:rsidP="007648F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This Bill introduces amendments that are consistent with the whole-of-government Regulatory Simplification Plan including amendments to the</w:t>
      </w:r>
      <w:r w:rsidR="0064217A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64217A" w:rsidRDefault="00572C85" w:rsidP="0067584D">
      <w:pPr>
        <w:numPr>
          <w:ilvl w:val="0"/>
          <w:numId w:val="7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</w:rPr>
        <w:t>Environmental Protection Act 1994</w:t>
      </w:r>
      <w:r w:rsidR="0067584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which will ensure industry does not pay fees for a registration certificate before obtaining a development approval</w:t>
      </w:r>
      <w:r w:rsidR="00936D23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:rsidR="00572C85" w:rsidRDefault="00572C85" w:rsidP="0067584D">
      <w:pPr>
        <w:numPr>
          <w:ilvl w:val="0"/>
          <w:numId w:val="7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</w:rPr>
        <w:t xml:space="preserve">Coastal Protection and </w:t>
      </w:r>
      <w:r w:rsidRPr="009F102F">
        <w:rPr>
          <w:rFonts w:ascii="Arial" w:hAnsi="Arial" w:cs="Arial"/>
          <w:bCs/>
          <w:i/>
          <w:spacing w:val="-3"/>
          <w:sz w:val="22"/>
          <w:szCs w:val="22"/>
        </w:rPr>
        <w:t xml:space="preserve">Management Act </w:t>
      </w:r>
      <w:r w:rsidR="009F102F" w:rsidRPr="009F102F">
        <w:rPr>
          <w:rFonts w:ascii="Arial" w:hAnsi="Arial" w:cs="Arial"/>
          <w:bCs/>
          <w:i/>
          <w:spacing w:val="-3"/>
          <w:sz w:val="22"/>
          <w:szCs w:val="22"/>
        </w:rPr>
        <w:t>1995</w:t>
      </w:r>
      <w:r w:rsidR="0067584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which will clarify when a resource allocation is not needed, to reduce the extent of the coastal zone which will reduce the regulatory and approval requirements for industry and reduce assessment of applications by Government.</w:t>
      </w:r>
    </w:p>
    <w:p w:rsidR="00572C85" w:rsidRDefault="00572C85" w:rsidP="007648F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This Bill also amends the </w:t>
      </w:r>
      <w:r w:rsidR="0067584D" w:rsidRPr="0067584D">
        <w:rPr>
          <w:rFonts w:ascii="Arial" w:hAnsi="Arial" w:cs="Arial"/>
          <w:bCs/>
          <w:spacing w:val="-3"/>
          <w:sz w:val="22"/>
          <w:szCs w:val="22"/>
        </w:rPr>
        <w:t xml:space="preserve">Environmental Protection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Act to expand the types of Court Orders that can be issued and the range of environmental offences </w:t>
      </w:r>
      <w:r w:rsidR="0067584D">
        <w:rPr>
          <w:rFonts w:ascii="Arial" w:hAnsi="Arial" w:cs="Arial"/>
          <w:bCs/>
          <w:spacing w:val="-3"/>
          <w:sz w:val="22"/>
          <w:szCs w:val="22"/>
        </w:rPr>
        <w:t>to which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Court Orders can apply. </w:t>
      </w:r>
    </w:p>
    <w:p w:rsidR="00572C85" w:rsidRDefault="00572C85" w:rsidP="00572C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="0067584D" w:rsidRPr="0067584D">
        <w:rPr>
          <w:rFonts w:ascii="Arial" w:hAnsi="Arial" w:cs="Arial"/>
          <w:bCs/>
          <w:i/>
          <w:iCs/>
          <w:spacing w:val="-3"/>
          <w:sz w:val="22"/>
          <w:szCs w:val="22"/>
        </w:rPr>
        <w:t>Recreation Areas Management Act 2006</w:t>
      </w:r>
      <w:r w:rsidR="0067584D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will extend the maximum term of commercial activity agreements from 10 to 15 years.</w:t>
      </w:r>
    </w:p>
    <w:p w:rsidR="0067584D" w:rsidRPr="0067584D" w:rsidRDefault="00572C85" w:rsidP="00572C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 w:rsidRPr="00572C85">
        <w:rPr>
          <w:rFonts w:ascii="Arial" w:hAnsi="Arial" w:cs="Arial"/>
          <w:bCs/>
          <w:spacing w:val="-3"/>
          <w:sz w:val="22"/>
          <w:szCs w:val="22"/>
        </w:rPr>
        <w:t xml:space="preserve">Other amendments are necessary to: </w:t>
      </w:r>
    </w:p>
    <w:p w:rsidR="0067584D" w:rsidRPr="0067584D" w:rsidRDefault="00572C85" w:rsidP="0067584D">
      <w:pPr>
        <w:numPr>
          <w:ilvl w:val="0"/>
          <w:numId w:val="7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72C85">
        <w:rPr>
          <w:rFonts w:ascii="Arial" w:hAnsi="Arial" w:cs="Arial"/>
          <w:bCs/>
          <w:spacing w:val="-3"/>
          <w:sz w:val="22"/>
          <w:szCs w:val="22"/>
        </w:rPr>
        <w:t xml:space="preserve">implement the adopted recommendations of the Webbe-Weller Review of statutory bodies; </w:t>
      </w:r>
    </w:p>
    <w:p w:rsidR="0067584D" w:rsidRPr="0067584D" w:rsidRDefault="00572C85" w:rsidP="0067584D">
      <w:pPr>
        <w:numPr>
          <w:ilvl w:val="0"/>
          <w:numId w:val="7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72C85">
        <w:rPr>
          <w:rFonts w:ascii="Arial" w:hAnsi="Arial" w:cs="Arial"/>
          <w:bCs/>
          <w:spacing w:val="-3"/>
          <w:sz w:val="22"/>
          <w:szCs w:val="22"/>
        </w:rPr>
        <w:t xml:space="preserve">implement the Government’s planning reform agenda; and </w:t>
      </w:r>
    </w:p>
    <w:p w:rsidR="00572C85" w:rsidRPr="0067584D" w:rsidRDefault="00572C85" w:rsidP="0067584D">
      <w:pPr>
        <w:numPr>
          <w:ilvl w:val="0"/>
          <w:numId w:val="7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72C85">
        <w:rPr>
          <w:rFonts w:ascii="Arial" w:hAnsi="Arial" w:cs="Arial"/>
          <w:bCs/>
          <w:spacing w:val="-3"/>
          <w:sz w:val="22"/>
          <w:szCs w:val="22"/>
        </w:rPr>
        <w:t>clarify provisions dealing with the allocation of quarry materials from tidal waters</w:t>
      </w:r>
      <w:r w:rsidRPr="0067584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447FD" w:rsidRPr="000447FD" w:rsidRDefault="007648F2" w:rsidP="007648F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0447FD">
        <w:rPr>
          <w:rFonts w:ascii="Arial" w:hAnsi="Arial" w:cs="Arial"/>
          <w:sz w:val="22"/>
          <w:szCs w:val="22"/>
        </w:rPr>
        <w:t xml:space="preserve"> the </w:t>
      </w:r>
      <w:r w:rsidR="009820C6">
        <w:rPr>
          <w:rFonts w:ascii="Arial" w:hAnsi="Arial" w:cs="Arial"/>
          <w:sz w:val="22"/>
          <w:szCs w:val="22"/>
        </w:rPr>
        <w:t xml:space="preserve">introduction of the </w:t>
      </w:r>
      <w:r w:rsidR="009820C6">
        <w:rPr>
          <w:rFonts w:ascii="Arial" w:hAnsi="Arial" w:cs="Arial"/>
          <w:i/>
          <w:sz w:val="22"/>
          <w:szCs w:val="22"/>
        </w:rPr>
        <w:t>Environmental Protection and Other Legislation Amendment Bill 2010</w:t>
      </w:r>
      <w:r w:rsidR="009820C6">
        <w:rPr>
          <w:rFonts w:ascii="Arial" w:hAnsi="Arial" w:cs="Arial"/>
          <w:sz w:val="22"/>
          <w:szCs w:val="22"/>
        </w:rPr>
        <w:t xml:space="preserve"> </w:t>
      </w:r>
      <w:r w:rsidR="0067584D">
        <w:rPr>
          <w:rFonts w:ascii="Arial" w:hAnsi="Arial" w:cs="Arial"/>
          <w:sz w:val="22"/>
          <w:szCs w:val="22"/>
        </w:rPr>
        <w:t>in</w:t>
      </w:r>
      <w:r w:rsidR="009820C6">
        <w:rPr>
          <w:rFonts w:ascii="Arial" w:hAnsi="Arial" w:cs="Arial"/>
          <w:sz w:val="22"/>
          <w:szCs w:val="22"/>
        </w:rPr>
        <w:t>to the Legislative Assembly.</w:t>
      </w:r>
    </w:p>
    <w:p w:rsidR="007648F2" w:rsidRPr="00C07656" w:rsidRDefault="007648F2" w:rsidP="0067584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648F2" w:rsidRPr="00C07656" w:rsidRDefault="007648F2" w:rsidP="007648F2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447FD" w:rsidRPr="0067584D" w:rsidRDefault="00541714" w:rsidP="007648F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820C6" w:rsidRPr="009A5E15">
          <w:rPr>
            <w:rStyle w:val="Hyperlink"/>
            <w:rFonts w:ascii="Arial" w:hAnsi="Arial" w:cs="Arial"/>
            <w:sz w:val="22"/>
            <w:szCs w:val="22"/>
          </w:rPr>
          <w:t>Environmental Protection and Other Legislation Amendment Bill 2010</w:t>
        </w:r>
      </w:hyperlink>
    </w:p>
    <w:p w:rsidR="006D4C79" w:rsidRPr="0067584D" w:rsidRDefault="00541714" w:rsidP="007648F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D4C79" w:rsidRPr="009A5E1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6D4C79" w:rsidRPr="0067584D" w:rsidSect="0067584D">
      <w:head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65" w:rsidRDefault="00F23665">
      <w:r>
        <w:separator/>
      </w:r>
    </w:p>
  </w:endnote>
  <w:endnote w:type="continuationSeparator" w:id="0">
    <w:p w:rsidR="00F23665" w:rsidRDefault="00F2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65" w:rsidRDefault="00F23665">
      <w:r>
        <w:separator/>
      </w:r>
    </w:p>
  </w:footnote>
  <w:footnote w:type="continuationSeparator" w:id="0">
    <w:p w:rsidR="00F23665" w:rsidRDefault="00F2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4D" w:rsidRPr="0067584D" w:rsidRDefault="000C6395" w:rsidP="007648F2">
    <w:pPr>
      <w:pStyle w:val="Header"/>
      <w:ind w:firstLine="288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84D" w:rsidRPr="000400F9">
      <w:rPr>
        <w:rFonts w:ascii="Arial" w:hAnsi="Arial" w:cs="Arial"/>
        <w:b/>
        <w:sz w:val="22"/>
        <w:szCs w:val="22"/>
        <w:u w:val="single"/>
      </w:rPr>
      <w:t>Cabinet –</w:t>
    </w:r>
    <w:r w:rsidR="0067584D">
      <w:rPr>
        <w:rFonts w:ascii="Arial" w:hAnsi="Arial" w:cs="Arial"/>
        <w:b/>
        <w:sz w:val="22"/>
        <w:szCs w:val="22"/>
        <w:u w:val="single"/>
      </w:rPr>
      <w:t xml:space="preserve"> November 2010</w:t>
    </w:r>
  </w:p>
  <w:p w:rsidR="0067584D" w:rsidRDefault="0067584D" w:rsidP="00CB17C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Environmental Protection and Other Legislation Amendment Bill 2010</w:t>
    </w:r>
  </w:p>
  <w:p w:rsidR="0067584D" w:rsidRPr="00CB17C2" w:rsidRDefault="0067584D" w:rsidP="00CB17C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B17C2"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67584D" w:rsidRPr="00F40F4A" w:rsidRDefault="0067584D" w:rsidP="00936D2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4391"/>
    <w:multiLevelType w:val="hybridMultilevel"/>
    <w:tmpl w:val="18828FA0"/>
    <w:lvl w:ilvl="0" w:tplc="E15C1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E05BCB"/>
    <w:multiLevelType w:val="hybridMultilevel"/>
    <w:tmpl w:val="1CF2D6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790587"/>
    <w:multiLevelType w:val="hybridMultilevel"/>
    <w:tmpl w:val="AD38F132"/>
    <w:lvl w:ilvl="0" w:tplc="99CA5D8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F2829"/>
    <w:multiLevelType w:val="hybridMultilevel"/>
    <w:tmpl w:val="02E8D836"/>
    <w:lvl w:ilvl="0" w:tplc="F52C4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10C17"/>
    <w:multiLevelType w:val="hybridMultilevel"/>
    <w:tmpl w:val="DB361E96"/>
    <w:lvl w:ilvl="0" w:tplc="DB1A179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F2"/>
    <w:rsid w:val="000447FD"/>
    <w:rsid w:val="000B77E3"/>
    <w:rsid w:val="000C2545"/>
    <w:rsid w:val="000C6395"/>
    <w:rsid w:val="000F78CA"/>
    <w:rsid w:val="001155C9"/>
    <w:rsid w:val="00132C71"/>
    <w:rsid w:val="001F482B"/>
    <w:rsid w:val="002470F2"/>
    <w:rsid w:val="002F37D5"/>
    <w:rsid w:val="00325E23"/>
    <w:rsid w:val="00345ECC"/>
    <w:rsid w:val="0043489F"/>
    <w:rsid w:val="004A4016"/>
    <w:rsid w:val="005020A2"/>
    <w:rsid w:val="00541714"/>
    <w:rsid w:val="00572C85"/>
    <w:rsid w:val="00575EB9"/>
    <w:rsid w:val="00576323"/>
    <w:rsid w:val="005E2B00"/>
    <w:rsid w:val="00603458"/>
    <w:rsid w:val="0064217A"/>
    <w:rsid w:val="0067584D"/>
    <w:rsid w:val="006B19A8"/>
    <w:rsid w:val="006C148A"/>
    <w:rsid w:val="006D4C79"/>
    <w:rsid w:val="006E044E"/>
    <w:rsid w:val="007648F2"/>
    <w:rsid w:val="008138D5"/>
    <w:rsid w:val="00893D3A"/>
    <w:rsid w:val="008B33B8"/>
    <w:rsid w:val="008C002D"/>
    <w:rsid w:val="00936D23"/>
    <w:rsid w:val="009820C6"/>
    <w:rsid w:val="0099267A"/>
    <w:rsid w:val="009A5E15"/>
    <w:rsid w:val="009E6602"/>
    <w:rsid w:val="009F102F"/>
    <w:rsid w:val="009F6DA4"/>
    <w:rsid w:val="00AC1740"/>
    <w:rsid w:val="00AE7E00"/>
    <w:rsid w:val="00B21B6D"/>
    <w:rsid w:val="00C03FE5"/>
    <w:rsid w:val="00C05B36"/>
    <w:rsid w:val="00C563FF"/>
    <w:rsid w:val="00C65D4D"/>
    <w:rsid w:val="00CB17C2"/>
    <w:rsid w:val="00CD1DA4"/>
    <w:rsid w:val="00CD2A5A"/>
    <w:rsid w:val="00CE002E"/>
    <w:rsid w:val="00CE4F3E"/>
    <w:rsid w:val="00D24B72"/>
    <w:rsid w:val="00D61817"/>
    <w:rsid w:val="00E85B9A"/>
    <w:rsid w:val="00EB012D"/>
    <w:rsid w:val="00EB13B7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F2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48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48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F10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5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1588</CharactersWithSpaces>
  <SharedDoc>false</SharedDoc>
  <HyperlinkBase>https://www.cabinet.qld.gov.au/documents/2010/Nov/Environmental Protection Bill 2010/</HyperlinkBase>
  <HLinks>
    <vt:vector size="12" baseType="variant"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Attachments/Exp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2011-04-18T03:59:00Z</cp:lastPrinted>
  <dcterms:created xsi:type="dcterms:W3CDTF">2017-10-24T22:21:00Z</dcterms:created>
  <dcterms:modified xsi:type="dcterms:W3CDTF">2018-03-06T01:04:00Z</dcterms:modified>
  <cp:category>Environmental_Protection,Legislation</cp:category>
</cp:coreProperties>
</file>